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8755" w14:textId="7ECCD1E5" w:rsidR="0086722F" w:rsidRDefault="0086722F" w:rsidP="0086722F">
      <w:pPr>
        <w:rPr>
          <w:rFonts w:ascii="Calibri" w:hAnsi="Calibri" w:cs="Calibri"/>
          <w:b/>
          <w:bCs/>
          <w:sz w:val="28"/>
          <w:szCs w:val="28"/>
        </w:rPr>
      </w:pPr>
      <w:r w:rsidRPr="00980148">
        <w:rPr>
          <w:rFonts w:ascii="Calibri" w:hAnsi="Calibri" w:cs="Calibri"/>
          <w:b/>
          <w:bCs/>
          <w:noProof/>
          <w:sz w:val="28"/>
          <w:szCs w:val="28"/>
        </w:rPr>
        <w:drawing>
          <wp:anchor distT="0" distB="0" distL="114300" distR="114300" simplePos="0" relativeHeight="251658240" behindDoc="0" locked="0" layoutInCell="1" allowOverlap="1" wp14:anchorId="7D3A56CF" wp14:editId="46DDF494">
            <wp:simplePos x="0" y="0"/>
            <wp:positionH relativeFrom="column">
              <wp:posOffset>4170571</wp:posOffset>
            </wp:positionH>
            <wp:positionV relativeFrom="paragraph">
              <wp:posOffset>-556853</wp:posOffset>
            </wp:positionV>
            <wp:extent cx="1834410" cy="651664"/>
            <wp:effectExtent l="0" t="0" r="0" b="0"/>
            <wp:wrapNone/>
            <wp:docPr id="2936884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4410" cy="651664"/>
                    </a:xfrm>
                    <a:prstGeom prst="rect">
                      <a:avLst/>
                    </a:prstGeom>
                    <a:noFill/>
                  </pic:spPr>
                </pic:pic>
              </a:graphicData>
            </a:graphic>
            <wp14:sizeRelH relativeFrom="margin">
              <wp14:pctWidth>0</wp14:pctWidth>
            </wp14:sizeRelH>
            <wp14:sizeRelV relativeFrom="margin">
              <wp14:pctHeight>0</wp14:pctHeight>
            </wp14:sizeRelV>
          </wp:anchor>
        </w:drawing>
      </w:r>
    </w:p>
    <w:p w14:paraId="7AC7DE8E" w14:textId="77777777" w:rsidR="007F2DA9" w:rsidRDefault="007F2DA9" w:rsidP="007F2DA9">
      <w:pPr>
        <w:spacing w:after="0" w:line="240" w:lineRule="auto"/>
        <w:rPr>
          <w:rFonts w:ascii="Calibri" w:hAnsi="Calibri" w:cs="Calibri"/>
          <w:b/>
          <w:bCs/>
          <w:sz w:val="22"/>
          <w:szCs w:val="22"/>
          <w:lang w:val="en-US"/>
        </w:rPr>
      </w:pPr>
      <w:r w:rsidRPr="007F2DA9">
        <w:rPr>
          <w:rFonts w:ascii="Calibri" w:hAnsi="Calibri" w:cs="Calibri"/>
          <w:b/>
          <w:bCs/>
          <w:sz w:val="22"/>
          <w:szCs w:val="22"/>
          <w:lang w:val="en-US"/>
        </w:rPr>
        <w:t>VERONAFIERE SHAREHOLDERS’ MEETING UNANIMOUSLY APPROVES THE 2025 FINANCIAL STATEMENTS</w:t>
      </w:r>
    </w:p>
    <w:p w14:paraId="656FE222" w14:textId="77777777" w:rsidR="007F2DA9" w:rsidRPr="007F2DA9" w:rsidRDefault="007F2DA9" w:rsidP="007F2DA9">
      <w:pPr>
        <w:spacing w:after="0" w:line="240" w:lineRule="auto"/>
        <w:rPr>
          <w:rFonts w:ascii="Calibri" w:hAnsi="Calibri" w:cs="Calibri"/>
          <w:b/>
          <w:bCs/>
          <w:sz w:val="22"/>
          <w:szCs w:val="22"/>
          <w:lang w:val="en-US"/>
        </w:rPr>
      </w:pPr>
    </w:p>
    <w:p w14:paraId="60B1EAF0" w14:textId="77777777" w:rsidR="007F2DA9" w:rsidRPr="007F2DA9" w:rsidRDefault="007F2DA9" w:rsidP="007F2DA9">
      <w:pPr>
        <w:numPr>
          <w:ilvl w:val="0"/>
          <w:numId w:val="2"/>
        </w:numPr>
        <w:spacing w:after="0" w:line="240" w:lineRule="auto"/>
        <w:rPr>
          <w:rFonts w:ascii="Calibri" w:hAnsi="Calibri" w:cs="Calibri"/>
          <w:b/>
          <w:bCs/>
          <w:sz w:val="22"/>
          <w:szCs w:val="22"/>
        </w:rPr>
      </w:pPr>
      <w:r w:rsidRPr="007F2DA9">
        <w:rPr>
          <w:rFonts w:ascii="Calibri" w:hAnsi="Calibri" w:cs="Calibri"/>
          <w:b/>
          <w:bCs/>
          <w:sz w:val="22"/>
          <w:szCs w:val="22"/>
        </w:rPr>
        <w:t xml:space="preserve">Group revenue </w:t>
      </w:r>
      <w:proofErr w:type="spellStart"/>
      <w:r w:rsidRPr="007F2DA9">
        <w:rPr>
          <w:rFonts w:ascii="Calibri" w:hAnsi="Calibri" w:cs="Calibri"/>
          <w:b/>
          <w:bCs/>
          <w:sz w:val="22"/>
          <w:szCs w:val="22"/>
        </w:rPr>
        <w:t>reaches</w:t>
      </w:r>
      <w:proofErr w:type="spellEnd"/>
      <w:r w:rsidRPr="007F2DA9">
        <w:rPr>
          <w:rFonts w:ascii="Calibri" w:hAnsi="Calibri" w:cs="Calibri"/>
          <w:b/>
          <w:bCs/>
          <w:sz w:val="22"/>
          <w:szCs w:val="22"/>
        </w:rPr>
        <w:t xml:space="preserve"> €116.6 </w:t>
      </w:r>
      <w:proofErr w:type="spellStart"/>
      <w:r w:rsidRPr="007F2DA9">
        <w:rPr>
          <w:rFonts w:ascii="Calibri" w:hAnsi="Calibri" w:cs="Calibri"/>
          <w:b/>
          <w:bCs/>
          <w:sz w:val="22"/>
          <w:szCs w:val="22"/>
        </w:rPr>
        <w:t>million</w:t>
      </w:r>
      <w:proofErr w:type="spellEnd"/>
      <w:r w:rsidRPr="007F2DA9">
        <w:rPr>
          <w:rFonts w:ascii="Calibri" w:hAnsi="Calibri" w:cs="Calibri"/>
          <w:b/>
          <w:bCs/>
          <w:sz w:val="22"/>
          <w:szCs w:val="22"/>
        </w:rPr>
        <w:t>.</w:t>
      </w:r>
    </w:p>
    <w:p w14:paraId="248EF50C" w14:textId="77777777" w:rsidR="007F2DA9" w:rsidRPr="007F2DA9" w:rsidRDefault="007F2DA9" w:rsidP="007F2DA9">
      <w:pPr>
        <w:numPr>
          <w:ilvl w:val="0"/>
          <w:numId w:val="2"/>
        </w:numPr>
        <w:spacing w:after="0" w:line="240" w:lineRule="auto"/>
        <w:rPr>
          <w:rFonts w:ascii="Calibri" w:hAnsi="Calibri" w:cs="Calibri"/>
          <w:b/>
          <w:bCs/>
          <w:sz w:val="22"/>
          <w:szCs w:val="22"/>
          <w:lang w:val="en-US"/>
        </w:rPr>
      </w:pPr>
      <w:r w:rsidRPr="007F2DA9">
        <w:rPr>
          <w:rFonts w:ascii="Calibri" w:hAnsi="Calibri" w:cs="Calibri"/>
          <w:b/>
          <w:bCs/>
          <w:sz w:val="22"/>
          <w:szCs w:val="22"/>
          <w:lang w:val="en-US"/>
        </w:rPr>
        <w:t>EBITDA totals €20.5 million and net profit €5 million.</w:t>
      </w:r>
    </w:p>
    <w:p w14:paraId="1B5B8A81" w14:textId="77777777" w:rsidR="007F2DA9" w:rsidRPr="007F2DA9" w:rsidRDefault="007F2DA9" w:rsidP="007F2DA9">
      <w:pPr>
        <w:numPr>
          <w:ilvl w:val="0"/>
          <w:numId w:val="2"/>
        </w:numPr>
        <w:spacing w:after="0" w:line="240" w:lineRule="auto"/>
        <w:rPr>
          <w:rFonts w:ascii="Calibri" w:hAnsi="Calibri" w:cs="Calibri"/>
          <w:b/>
          <w:bCs/>
          <w:sz w:val="22"/>
          <w:szCs w:val="22"/>
          <w:lang w:val="en-US"/>
        </w:rPr>
      </w:pPr>
      <w:r w:rsidRPr="007F2DA9">
        <w:rPr>
          <w:rFonts w:ascii="Calibri" w:hAnsi="Calibri" w:cs="Calibri"/>
          <w:b/>
          <w:bCs/>
          <w:sz w:val="22"/>
          <w:szCs w:val="22"/>
          <w:lang w:val="en-US"/>
        </w:rPr>
        <w:t>Net financial position remains positive at €11.6 million.</w:t>
      </w:r>
    </w:p>
    <w:p w14:paraId="21DD32BC" w14:textId="77777777" w:rsidR="007F2DA9" w:rsidRPr="007F2DA9" w:rsidRDefault="007F2DA9" w:rsidP="007F2DA9">
      <w:pPr>
        <w:numPr>
          <w:ilvl w:val="0"/>
          <w:numId w:val="2"/>
        </w:numPr>
        <w:spacing w:after="0" w:line="240" w:lineRule="auto"/>
        <w:rPr>
          <w:rFonts w:ascii="Calibri" w:hAnsi="Calibri" w:cs="Calibri"/>
          <w:b/>
          <w:bCs/>
          <w:sz w:val="22"/>
          <w:szCs w:val="22"/>
          <w:lang w:val="en-US"/>
        </w:rPr>
      </w:pPr>
      <w:r w:rsidRPr="007F2DA9">
        <w:rPr>
          <w:rFonts w:ascii="Calibri" w:hAnsi="Calibri" w:cs="Calibri"/>
          <w:b/>
          <w:bCs/>
          <w:sz w:val="22"/>
          <w:szCs w:val="22"/>
          <w:lang w:val="en-US"/>
        </w:rPr>
        <w:t>Seven new events launched in Italy and abroad during 2025.</w:t>
      </w:r>
    </w:p>
    <w:p w14:paraId="7EF08067" w14:textId="77777777" w:rsidR="007F2DA9" w:rsidRDefault="007F2DA9" w:rsidP="007F2DA9">
      <w:pPr>
        <w:spacing w:after="0" w:line="240" w:lineRule="auto"/>
        <w:jc w:val="both"/>
        <w:rPr>
          <w:rFonts w:ascii="Calibri" w:hAnsi="Calibri" w:cs="Calibri"/>
          <w:b/>
          <w:bCs/>
          <w:sz w:val="22"/>
          <w:szCs w:val="22"/>
          <w:lang w:val="en-US"/>
        </w:rPr>
      </w:pPr>
    </w:p>
    <w:p w14:paraId="3DF00ECB" w14:textId="33AC9583"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b/>
          <w:bCs/>
          <w:sz w:val="22"/>
          <w:szCs w:val="22"/>
          <w:lang w:val="en-US"/>
        </w:rPr>
        <w:t>Verona, 17 June 2026</w:t>
      </w:r>
      <w:r w:rsidRPr="007F2DA9">
        <w:rPr>
          <w:rFonts w:ascii="Calibri" w:hAnsi="Calibri" w:cs="Calibri"/>
          <w:sz w:val="22"/>
          <w:szCs w:val="22"/>
          <w:lang w:val="en-US"/>
        </w:rPr>
        <w:t xml:space="preserve"> – The Shareholders’ Meeting of Veronafiere S.p.A. today unanimously approved the Company’s 2025 financial statements and acknowledged the Group’s consolidated financial statements. The year closed with positive results despite a trade fair calendar that did not include major biennial exhibitions such as </w:t>
      </w:r>
      <w:proofErr w:type="spellStart"/>
      <w:r w:rsidRPr="007F2DA9">
        <w:rPr>
          <w:rFonts w:ascii="Calibri" w:hAnsi="Calibri" w:cs="Calibri"/>
          <w:sz w:val="22"/>
          <w:szCs w:val="22"/>
          <w:lang w:val="en-US"/>
        </w:rPr>
        <w:t>Fieragricola</w:t>
      </w:r>
      <w:proofErr w:type="spellEnd"/>
      <w:r w:rsidRPr="007F2DA9">
        <w:rPr>
          <w:rFonts w:ascii="Calibri" w:hAnsi="Calibri" w:cs="Calibri"/>
          <w:sz w:val="22"/>
          <w:szCs w:val="22"/>
          <w:lang w:val="en-US"/>
        </w:rPr>
        <w:t xml:space="preserve"> and Progetto Fuoco.</w:t>
      </w:r>
    </w:p>
    <w:p w14:paraId="3D7459F0"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At consolidated level, the Group recorded revenue of </w:t>
      </w:r>
      <w:r w:rsidRPr="007F2DA9">
        <w:rPr>
          <w:rFonts w:ascii="Calibri" w:hAnsi="Calibri" w:cs="Calibri"/>
          <w:b/>
          <w:bCs/>
          <w:sz w:val="22"/>
          <w:szCs w:val="22"/>
          <w:lang w:val="en-US"/>
        </w:rPr>
        <w:t>€116.6 million</w:t>
      </w:r>
      <w:r w:rsidRPr="007F2DA9">
        <w:rPr>
          <w:rFonts w:ascii="Calibri" w:hAnsi="Calibri" w:cs="Calibri"/>
          <w:sz w:val="22"/>
          <w:szCs w:val="22"/>
          <w:lang w:val="en-US"/>
        </w:rPr>
        <w:t xml:space="preserve">, with </w:t>
      </w:r>
      <w:r w:rsidRPr="007F2DA9">
        <w:rPr>
          <w:rFonts w:ascii="Calibri" w:hAnsi="Calibri" w:cs="Calibri"/>
          <w:b/>
          <w:bCs/>
          <w:sz w:val="22"/>
          <w:szCs w:val="22"/>
          <w:lang w:val="en-US"/>
        </w:rPr>
        <w:t>EBITDA of €20.5 million</w:t>
      </w:r>
      <w:r w:rsidRPr="007F2DA9">
        <w:rPr>
          <w:rFonts w:ascii="Calibri" w:hAnsi="Calibri" w:cs="Calibri"/>
          <w:sz w:val="22"/>
          <w:szCs w:val="22"/>
          <w:lang w:val="en-US"/>
        </w:rPr>
        <w:t xml:space="preserve">, </w:t>
      </w:r>
      <w:r w:rsidRPr="007F2DA9">
        <w:rPr>
          <w:rFonts w:ascii="Calibri" w:hAnsi="Calibri" w:cs="Calibri"/>
          <w:b/>
          <w:bCs/>
          <w:sz w:val="22"/>
          <w:szCs w:val="22"/>
          <w:lang w:val="en-US"/>
        </w:rPr>
        <w:t>EBIT of €6.1 million</w:t>
      </w:r>
      <w:r w:rsidRPr="007F2DA9">
        <w:rPr>
          <w:rFonts w:ascii="Calibri" w:hAnsi="Calibri" w:cs="Calibri"/>
          <w:sz w:val="22"/>
          <w:szCs w:val="22"/>
          <w:lang w:val="en-US"/>
        </w:rPr>
        <w:t xml:space="preserve">, and a </w:t>
      </w:r>
      <w:r w:rsidRPr="007F2DA9">
        <w:rPr>
          <w:rFonts w:ascii="Calibri" w:hAnsi="Calibri" w:cs="Calibri"/>
          <w:b/>
          <w:bCs/>
          <w:sz w:val="22"/>
          <w:szCs w:val="22"/>
          <w:lang w:val="en-US"/>
        </w:rPr>
        <w:t>net profit of €5 million</w:t>
      </w:r>
      <w:r w:rsidRPr="007F2DA9">
        <w:rPr>
          <w:rFonts w:ascii="Calibri" w:hAnsi="Calibri" w:cs="Calibri"/>
          <w:sz w:val="22"/>
          <w:szCs w:val="22"/>
          <w:lang w:val="en-US"/>
        </w:rPr>
        <w:t xml:space="preserve">. The comparison is with 2023, the most comparable year in terms of exhibition calendar, although it included the triennial </w:t>
      </w:r>
      <w:proofErr w:type="spellStart"/>
      <w:r w:rsidRPr="007F2DA9">
        <w:rPr>
          <w:rFonts w:ascii="Calibri" w:hAnsi="Calibri" w:cs="Calibri"/>
          <w:sz w:val="22"/>
          <w:szCs w:val="22"/>
          <w:lang w:val="en-US"/>
        </w:rPr>
        <w:t>SaMoTer</w:t>
      </w:r>
      <w:proofErr w:type="spellEnd"/>
      <w:r w:rsidRPr="007F2DA9">
        <w:rPr>
          <w:rFonts w:ascii="Calibri" w:hAnsi="Calibri" w:cs="Calibri"/>
          <w:sz w:val="22"/>
          <w:szCs w:val="22"/>
          <w:lang w:val="en-US"/>
        </w:rPr>
        <w:t xml:space="preserve"> exhibition. Compared to that year, net profit increased by </w:t>
      </w:r>
      <w:r w:rsidRPr="007F2DA9">
        <w:rPr>
          <w:rFonts w:ascii="Calibri" w:hAnsi="Calibri" w:cs="Calibri"/>
          <w:b/>
          <w:bCs/>
          <w:sz w:val="22"/>
          <w:szCs w:val="22"/>
          <w:lang w:val="en-US"/>
        </w:rPr>
        <w:t>€1.2 million</w:t>
      </w:r>
      <w:r w:rsidRPr="007F2DA9">
        <w:rPr>
          <w:rFonts w:ascii="Calibri" w:hAnsi="Calibri" w:cs="Calibri"/>
          <w:sz w:val="22"/>
          <w:szCs w:val="22"/>
          <w:lang w:val="en-US"/>
        </w:rPr>
        <w:t xml:space="preserve">. The Group’s net financial position stood at </w:t>
      </w:r>
      <w:r w:rsidRPr="007F2DA9">
        <w:rPr>
          <w:rFonts w:ascii="Calibri" w:hAnsi="Calibri" w:cs="Calibri"/>
          <w:b/>
          <w:bCs/>
          <w:sz w:val="22"/>
          <w:szCs w:val="22"/>
          <w:lang w:val="en-US"/>
        </w:rPr>
        <w:t>€11.6 million</w:t>
      </w:r>
      <w:r w:rsidRPr="007F2DA9">
        <w:rPr>
          <w:rFonts w:ascii="Calibri" w:hAnsi="Calibri" w:cs="Calibri"/>
          <w:sz w:val="22"/>
          <w:szCs w:val="22"/>
          <w:lang w:val="en-US"/>
        </w:rPr>
        <w:t>, improving on the €6.4 million recorded in 2024 and the net debt position of €17.9 million in 2023.</w:t>
      </w:r>
    </w:p>
    <w:p w14:paraId="33AB1E03"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Parent company </w:t>
      </w:r>
      <w:r w:rsidRPr="007F2DA9">
        <w:rPr>
          <w:rFonts w:ascii="Calibri" w:hAnsi="Calibri" w:cs="Calibri"/>
          <w:b/>
          <w:bCs/>
          <w:sz w:val="22"/>
          <w:szCs w:val="22"/>
          <w:lang w:val="en-US"/>
        </w:rPr>
        <w:t>Veronafiere S.p.A.</w:t>
      </w:r>
      <w:r w:rsidRPr="007F2DA9">
        <w:rPr>
          <w:rFonts w:ascii="Calibri" w:hAnsi="Calibri" w:cs="Calibri"/>
          <w:sz w:val="22"/>
          <w:szCs w:val="22"/>
          <w:lang w:val="en-US"/>
        </w:rPr>
        <w:t xml:space="preserve"> reported revenue of </w:t>
      </w:r>
      <w:r w:rsidRPr="007F2DA9">
        <w:rPr>
          <w:rFonts w:ascii="Calibri" w:hAnsi="Calibri" w:cs="Calibri"/>
          <w:b/>
          <w:bCs/>
          <w:sz w:val="22"/>
          <w:szCs w:val="22"/>
          <w:lang w:val="en-US"/>
        </w:rPr>
        <w:t>€93 million</w:t>
      </w:r>
      <w:r w:rsidRPr="007F2DA9">
        <w:rPr>
          <w:rFonts w:ascii="Calibri" w:hAnsi="Calibri" w:cs="Calibri"/>
          <w:sz w:val="22"/>
          <w:szCs w:val="22"/>
          <w:lang w:val="en-US"/>
        </w:rPr>
        <w:t xml:space="preserve">, EBITDA of </w:t>
      </w:r>
      <w:r w:rsidRPr="007F2DA9">
        <w:rPr>
          <w:rFonts w:ascii="Calibri" w:hAnsi="Calibri" w:cs="Calibri"/>
          <w:b/>
          <w:bCs/>
          <w:sz w:val="22"/>
          <w:szCs w:val="22"/>
          <w:lang w:val="en-US"/>
        </w:rPr>
        <w:t>€16.9 million</w:t>
      </w:r>
      <w:r w:rsidRPr="007F2DA9">
        <w:rPr>
          <w:rFonts w:ascii="Calibri" w:hAnsi="Calibri" w:cs="Calibri"/>
          <w:sz w:val="22"/>
          <w:szCs w:val="22"/>
          <w:lang w:val="en-US"/>
        </w:rPr>
        <w:t xml:space="preserve">, and a </w:t>
      </w:r>
      <w:r w:rsidRPr="007F2DA9">
        <w:rPr>
          <w:rFonts w:ascii="Calibri" w:hAnsi="Calibri" w:cs="Calibri"/>
          <w:b/>
          <w:bCs/>
          <w:sz w:val="22"/>
          <w:szCs w:val="22"/>
          <w:lang w:val="en-US"/>
        </w:rPr>
        <w:t>net profit of €6 million</w:t>
      </w:r>
      <w:r w:rsidRPr="007F2DA9">
        <w:rPr>
          <w:rFonts w:ascii="Calibri" w:hAnsi="Calibri" w:cs="Calibri"/>
          <w:sz w:val="22"/>
          <w:szCs w:val="22"/>
          <w:lang w:val="en-US"/>
        </w:rPr>
        <w:t>, with EBITDA exceeding budget forecasts by €1.6 million.</w:t>
      </w:r>
    </w:p>
    <w:p w14:paraId="46AB1A0D"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The Group’s performance was also supported by its subsidiaries, operating in two strategic areas. The platforms in </w:t>
      </w:r>
      <w:r w:rsidRPr="007F2DA9">
        <w:rPr>
          <w:rFonts w:ascii="Calibri" w:hAnsi="Calibri" w:cs="Calibri"/>
          <w:b/>
          <w:bCs/>
          <w:sz w:val="22"/>
          <w:szCs w:val="22"/>
          <w:lang w:val="en-US"/>
        </w:rPr>
        <w:t xml:space="preserve">Brazil (Veronafiere do </w:t>
      </w:r>
      <w:proofErr w:type="spellStart"/>
      <w:r w:rsidRPr="007F2DA9">
        <w:rPr>
          <w:rFonts w:ascii="Calibri" w:hAnsi="Calibri" w:cs="Calibri"/>
          <w:b/>
          <w:bCs/>
          <w:sz w:val="22"/>
          <w:szCs w:val="22"/>
          <w:lang w:val="en-US"/>
        </w:rPr>
        <w:t>Brasil</w:t>
      </w:r>
      <w:proofErr w:type="spellEnd"/>
      <w:r w:rsidRPr="007F2DA9">
        <w:rPr>
          <w:rFonts w:ascii="Calibri" w:hAnsi="Calibri" w:cs="Calibri"/>
          <w:b/>
          <w:bCs/>
          <w:sz w:val="22"/>
          <w:szCs w:val="22"/>
          <w:lang w:val="en-US"/>
        </w:rPr>
        <w:t>)</w:t>
      </w:r>
      <w:r w:rsidRPr="007F2DA9">
        <w:rPr>
          <w:rFonts w:ascii="Calibri" w:hAnsi="Calibri" w:cs="Calibri"/>
          <w:sz w:val="22"/>
          <w:szCs w:val="22"/>
          <w:lang w:val="en-US"/>
        </w:rPr>
        <w:t xml:space="preserve"> and </w:t>
      </w:r>
      <w:r w:rsidRPr="007F2DA9">
        <w:rPr>
          <w:rFonts w:ascii="Calibri" w:hAnsi="Calibri" w:cs="Calibri"/>
          <w:b/>
          <w:bCs/>
          <w:sz w:val="22"/>
          <w:szCs w:val="22"/>
          <w:lang w:val="en-US"/>
        </w:rPr>
        <w:t>China (Veronafiere Asia Ltd)</w:t>
      </w:r>
      <w:r w:rsidRPr="007F2DA9">
        <w:rPr>
          <w:rFonts w:ascii="Calibri" w:hAnsi="Calibri" w:cs="Calibri"/>
          <w:sz w:val="22"/>
          <w:szCs w:val="22"/>
          <w:lang w:val="en-US"/>
        </w:rPr>
        <w:t xml:space="preserve"> serve as instruments for the international development of </w:t>
      </w:r>
      <w:proofErr w:type="spellStart"/>
      <w:r w:rsidRPr="007F2DA9">
        <w:rPr>
          <w:rFonts w:ascii="Calibri" w:hAnsi="Calibri" w:cs="Calibri"/>
          <w:sz w:val="22"/>
          <w:szCs w:val="22"/>
          <w:lang w:val="en-US"/>
        </w:rPr>
        <w:t>Veronafiere’s</w:t>
      </w:r>
      <w:proofErr w:type="spellEnd"/>
      <w:r w:rsidRPr="007F2DA9">
        <w:rPr>
          <w:rFonts w:ascii="Calibri" w:hAnsi="Calibri" w:cs="Calibri"/>
          <w:sz w:val="22"/>
          <w:szCs w:val="22"/>
          <w:lang w:val="en-US"/>
        </w:rPr>
        <w:t xml:space="preserve"> leading brands, foremost among them Vinitaly and Marmomac, in markets of strategic importance for Made in Italy products and international trade. Meanwhile, the companies operating in exhibition services—</w:t>
      </w:r>
      <w:r w:rsidRPr="007F2DA9">
        <w:rPr>
          <w:rFonts w:ascii="Calibri" w:hAnsi="Calibri" w:cs="Calibri"/>
          <w:b/>
          <w:bCs/>
          <w:sz w:val="22"/>
          <w:szCs w:val="22"/>
          <w:lang w:val="en-US"/>
        </w:rPr>
        <w:t xml:space="preserve">Veronafiere Servizi, </w:t>
      </w:r>
      <w:proofErr w:type="spellStart"/>
      <w:r w:rsidRPr="007F2DA9">
        <w:rPr>
          <w:rFonts w:ascii="Calibri" w:hAnsi="Calibri" w:cs="Calibri"/>
          <w:b/>
          <w:bCs/>
          <w:sz w:val="22"/>
          <w:szCs w:val="22"/>
          <w:lang w:val="en-US"/>
        </w:rPr>
        <w:t>Eurotend</w:t>
      </w:r>
      <w:proofErr w:type="spellEnd"/>
      <w:r w:rsidRPr="007F2DA9">
        <w:rPr>
          <w:rFonts w:ascii="Calibri" w:hAnsi="Calibri" w:cs="Calibri"/>
          <w:b/>
          <w:bCs/>
          <w:sz w:val="22"/>
          <w:szCs w:val="22"/>
          <w:lang w:val="en-US"/>
        </w:rPr>
        <w:t xml:space="preserve"> and </w:t>
      </w:r>
      <w:proofErr w:type="spellStart"/>
      <w:r w:rsidRPr="007F2DA9">
        <w:rPr>
          <w:rFonts w:ascii="Calibri" w:hAnsi="Calibri" w:cs="Calibri"/>
          <w:b/>
          <w:bCs/>
          <w:sz w:val="22"/>
          <w:szCs w:val="22"/>
          <w:lang w:val="en-US"/>
        </w:rPr>
        <w:t>Int.Ex</w:t>
      </w:r>
      <w:proofErr w:type="spellEnd"/>
      <w:r w:rsidRPr="007F2DA9">
        <w:rPr>
          <w:rFonts w:ascii="Calibri" w:hAnsi="Calibri" w:cs="Calibri"/>
          <w:b/>
          <w:bCs/>
          <w:sz w:val="22"/>
          <w:szCs w:val="22"/>
          <w:lang w:val="en-US"/>
        </w:rPr>
        <w:t>, together with its U.S. subsidiary</w:t>
      </w:r>
      <w:r w:rsidRPr="007F2DA9">
        <w:rPr>
          <w:rFonts w:ascii="Calibri" w:hAnsi="Calibri" w:cs="Calibri"/>
          <w:sz w:val="22"/>
          <w:szCs w:val="22"/>
          <w:lang w:val="en-US"/>
        </w:rPr>
        <w:t>—strengthen the Group’s integrated offering through the design, construction and rental of exhibition stands, tensile structures and tailor-made solutions.</w:t>
      </w:r>
    </w:p>
    <w:p w14:paraId="2D135112"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In 2025, Veronafiere further consolidated its positioning as an </w:t>
      </w:r>
      <w:r w:rsidRPr="007F2DA9">
        <w:rPr>
          <w:rFonts w:ascii="Calibri" w:hAnsi="Calibri" w:cs="Calibri"/>
          <w:b/>
          <w:bCs/>
          <w:sz w:val="22"/>
          <w:szCs w:val="22"/>
          <w:lang w:val="en-US"/>
        </w:rPr>
        <w:t>“event factory.”</w:t>
      </w:r>
      <w:r w:rsidRPr="007F2DA9">
        <w:rPr>
          <w:rFonts w:ascii="Calibri" w:hAnsi="Calibri" w:cs="Calibri"/>
          <w:sz w:val="22"/>
          <w:szCs w:val="22"/>
          <w:lang w:val="en-US"/>
        </w:rPr>
        <w:t xml:space="preserve"> The Group operates as both owner and organizer, not merely hosting events but conceiving, developing and managing them directly. Approximately </w:t>
      </w:r>
      <w:r w:rsidRPr="007F2DA9">
        <w:rPr>
          <w:rFonts w:ascii="Calibri" w:hAnsi="Calibri" w:cs="Calibri"/>
          <w:b/>
          <w:bCs/>
          <w:sz w:val="22"/>
          <w:szCs w:val="22"/>
          <w:lang w:val="en-US"/>
        </w:rPr>
        <w:t>90% of revenue</w:t>
      </w:r>
      <w:r w:rsidRPr="007F2DA9">
        <w:rPr>
          <w:rFonts w:ascii="Calibri" w:hAnsi="Calibri" w:cs="Calibri"/>
          <w:sz w:val="22"/>
          <w:szCs w:val="22"/>
          <w:lang w:val="en-US"/>
        </w:rPr>
        <w:t xml:space="preserve"> is generated through this business model, a distinctive feature within the Italian exhibition industry that enables long-term planning, targeted investments and direct engagement with the industries represented.</w:t>
      </w:r>
    </w:p>
    <w:p w14:paraId="5919EC0A"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This strategy was reflected in the launch of </w:t>
      </w:r>
      <w:r w:rsidRPr="007F2DA9">
        <w:rPr>
          <w:rFonts w:ascii="Calibri" w:hAnsi="Calibri" w:cs="Calibri"/>
          <w:b/>
          <w:bCs/>
          <w:sz w:val="22"/>
          <w:szCs w:val="22"/>
          <w:lang w:val="en-US"/>
        </w:rPr>
        <w:t>seven new events</w:t>
      </w:r>
      <w:r w:rsidRPr="007F2DA9">
        <w:rPr>
          <w:rFonts w:ascii="Calibri" w:hAnsi="Calibri" w:cs="Calibri"/>
          <w:sz w:val="22"/>
          <w:szCs w:val="22"/>
          <w:lang w:val="en-US"/>
        </w:rPr>
        <w:t xml:space="preserve"> in the 2025 calendar, four in Verona and three abroad. The Verona exhibition </w:t>
      </w:r>
      <w:proofErr w:type="spellStart"/>
      <w:r w:rsidRPr="007F2DA9">
        <w:rPr>
          <w:rFonts w:ascii="Calibri" w:hAnsi="Calibri" w:cs="Calibri"/>
          <w:sz w:val="22"/>
          <w:szCs w:val="22"/>
          <w:lang w:val="en-US"/>
        </w:rPr>
        <w:t>centre</w:t>
      </w:r>
      <w:proofErr w:type="spellEnd"/>
      <w:r w:rsidRPr="007F2DA9">
        <w:rPr>
          <w:rFonts w:ascii="Calibri" w:hAnsi="Calibri" w:cs="Calibri"/>
          <w:sz w:val="22"/>
          <w:szCs w:val="22"/>
          <w:lang w:val="en-US"/>
        </w:rPr>
        <w:t xml:space="preserve"> hosted the first editions of </w:t>
      </w:r>
      <w:r w:rsidRPr="007F2DA9">
        <w:rPr>
          <w:rFonts w:ascii="Calibri" w:hAnsi="Calibri" w:cs="Calibri"/>
          <w:b/>
          <w:bCs/>
          <w:sz w:val="22"/>
          <w:szCs w:val="22"/>
          <w:lang w:val="en-US"/>
        </w:rPr>
        <w:t>SOL2EXPO, Vita in Campagna and Solar &amp; Storage Live Italia</w:t>
      </w:r>
      <w:r w:rsidRPr="007F2DA9">
        <w:rPr>
          <w:rFonts w:ascii="Calibri" w:hAnsi="Calibri" w:cs="Calibri"/>
          <w:sz w:val="22"/>
          <w:szCs w:val="22"/>
          <w:lang w:val="en-US"/>
        </w:rPr>
        <w:t xml:space="preserve">, as well as the Italian leg of </w:t>
      </w:r>
      <w:r w:rsidRPr="007F2DA9">
        <w:rPr>
          <w:rFonts w:ascii="Calibri" w:hAnsi="Calibri" w:cs="Calibri"/>
          <w:b/>
          <w:bCs/>
          <w:sz w:val="22"/>
          <w:szCs w:val="22"/>
          <w:lang w:val="en-US"/>
        </w:rPr>
        <w:t>HYROX</w:t>
      </w:r>
      <w:r w:rsidRPr="007F2DA9">
        <w:rPr>
          <w:rFonts w:ascii="Calibri" w:hAnsi="Calibri" w:cs="Calibri"/>
          <w:sz w:val="22"/>
          <w:szCs w:val="22"/>
          <w:lang w:val="en-US"/>
        </w:rPr>
        <w:t xml:space="preserve">. Internationally, Veronafiere launched </w:t>
      </w:r>
      <w:r w:rsidRPr="007F2DA9">
        <w:rPr>
          <w:rFonts w:ascii="Calibri" w:hAnsi="Calibri" w:cs="Calibri"/>
          <w:b/>
          <w:bCs/>
          <w:sz w:val="22"/>
          <w:szCs w:val="22"/>
          <w:lang w:val="en-US"/>
        </w:rPr>
        <w:t>Marmomac Brazil</w:t>
      </w:r>
      <w:r w:rsidRPr="007F2DA9">
        <w:rPr>
          <w:rFonts w:ascii="Calibri" w:hAnsi="Calibri" w:cs="Calibri"/>
          <w:sz w:val="22"/>
          <w:szCs w:val="22"/>
          <w:lang w:val="en-US"/>
        </w:rPr>
        <w:t xml:space="preserve"> in São Paulo, </w:t>
      </w:r>
      <w:r w:rsidRPr="007F2DA9">
        <w:rPr>
          <w:rFonts w:ascii="Calibri" w:hAnsi="Calibri" w:cs="Calibri"/>
          <w:b/>
          <w:bCs/>
          <w:sz w:val="22"/>
          <w:szCs w:val="22"/>
          <w:lang w:val="en-US"/>
        </w:rPr>
        <w:t>Modal Expo</w:t>
      </w:r>
      <w:r w:rsidRPr="007F2DA9">
        <w:rPr>
          <w:rFonts w:ascii="Calibri" w:hAnsi="Calibri" w:cs="Calibri"/>
          <w:sz w:val="22"/>
          <w:szCs w:val="22"/>
          <w:lang w:val="en-US"/>
        </w:rPr>
        <w:t>, also in Brazil, and a new Vinitaly event in India.</w:t>
      </w:r>
    </w:p>
    <w:p w14:paraId="528126EE"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Overall, Veronafiere organized </w:t>
      </w:r>
      <w:r w:rsidRPr="007F2DA9">
        <w:rPr>
          <w:rFonts w:ascii="Calibri" w:hAnsi="Calibri" w:cs="Calibri"/>
          <w:b/>
          <w:bCs/>
          <w:sz w:val="22"/>
          <w:szCs w:val="22"/>
          <w:lang w:val="en-US"/>
        </w:rPr>
        <w:t>52 exhibitions and events in 2025</w:t>
      </w:r>
      <w:r w:rsidRPr="007F2DA9">
        <w:rPr>
          <w:rFonts w:ascii="Calibri" w:hAnsi="Calibri" w:cs="Calibri"/>
          <w:sz w:val="22"/>
          <w:szCs w:val="22"/>
          <w:lang w:val="en-US"/>
        </w:rPr>
        <w:t xml:space="preserve">, including </w:t>
      </w:r>
      <w:r w:rsidRPr="007F2DA9">
        <w:rPr>
          <w:rFonts w:ascii="Calibri" w:hAnsi="Calibri" w:cs="Calibri"/>
          <w:b/>
          <w:bCs/>
          <w:sz w:val="22"/>
          <w:szCs w:val="22"/>
          <w:lang w:val="en-US"/>
        </w:rPr>
        <w:t>39 in Italy and 13 abroad</w:t>
      </w:r>
      <w:r w:rsidRPr="007F2DA9">
        <w:rPr>
          <w:rFonts w:ascii="Calibri" w:hAnsi="Calibri" w:cs="Calibri"/>
          <w:sz w:val="22"/>
          <w:szCs w:val="22"/>
          <w:lang w:val="en-US"/>
        </w:rPr>
        <w:t xml:space="preserve">, across </w:t>
      </w:r>
      <w:r w:rsidRPr="007F2DA9">
        <w:rPr>
          <w:rFonts w:ascii="Calibri" w:hAnsi="Calibri" w:cs="Calibri"/>
          <w:b/>
          <w:bCs/>
          <w:sz w:val="22"/>
          <w:szCs w:val="22"/>
          <w:lang w:val="en-US"/>
        </w:rPr>
        <w:t>six countries</w:t>
      </w:r>
      <w:r w:rsidRPr="007F2DA9">
        <w:rPr>
          <w:rFonts w:ascii="Calibri" w:hAnsi="Calibri" w:cs="Calibri"/>
          <w:sz w:val="22"/>
          <w:szCs w:val="22"/>
          <w:lang w:val="en-US"/>
        </w:rPr>
        <w:t xml:space="preserve">. The Verona exhibition </w:t>
      </w:r>
      <w:proofErr w:type="spellStart"/>
      <w:r w:rsidRPr="007F2DA9">
        <w:rPr>
          <w:rFonts w:ascii="Calibri" w:hAnsi="Calibri" w:cs="Calibri"/>
          <w:sz w:val="22"/>
          <w:szCs w:val="22"/>
          <w:lang w:val="en-US"/>
        </w:rPr>
        <w:t>centre</w:t>
      </w:r>
      <w:proofErr w:type="spellEnd"/>
      <w:r w:rsidRPr="007F2DA9">
        <w:rPr>
          <w:rFonts w:ascii="Calibri" w:hAnsi="Calibri" w:cs="Calibri"/>
          <w:sz w:val="22"/>
          <w:szCs w:val="22"/>
          <w:lang w:val="en-US"/>
        </w:rPr>
        <w:t xml:space="preserve"> welcomed </w:t>
      </w:r>
      <w:r w:rsidRPr="007F2DA9">
        <w:rPr>
          <w:rFonts w:ascii="Calibri" w:hAnsi="Calibri" w:cs="Calibri"/>
          <w:b/>
          <w:bCs/>
          <w:sz w:val="22"/>
          <w:szCs w:val="22"/>
          <w:lang w:val="en-US"/>
        </w:rPr>
        <w:t>670,254 visitors</w:t>
      </w:r>
      <w:r w:rsidRPr="007F2DA9">
        <w:rPr>
          <w:rFonts w:ascii="Calibri" w:hAnsi="Calibri" w:cs="Calibri"/>
          <w:sz w:val="22"/>
          <w:szCs w:val="22"/>
          <w:lang w:val="en-US"/>
        </w:rPr>
        <w:t xml:space="preserve"> and </w:t>
      </w:r>
      <w:r w:rsidRPr="007F2DA9">
        <w:rPr>
          <w:rFonts w:ascii="Calibri" w:hAnsi="Calibri" w:cs="Calibri"/>
          <w:b/>
          <w:bCs/>
          <w:sz w:val="22"/>
          <w:szCs w:val="22"/>
          <w:lang w:val="en-US"/>
        </w:rPr>
        <w:t>10,580 exhibitors</w:t>
      </w:r>
      <w:r w:rsidRPr="007F2DA9">
        <w:rPr>
          <w:rFonts w:ascii="Calibri" w:hAnsi="Calibri" w:cs="Calibri"/>
          <w:sz w:val="22"/>
          <w:szCs w:val="22"/>
          <w:lang w:val="en-US"/>
        </w:rPr>
        <w:t xml:space="preserve">, occupying a net exhibition area of </w:t>
      </w:r>
      <w:r w:rsidRPr="007F2DA9">
        <w:rPr>
          <w:rFonts w:ascii="Calibri" w:hAnsi="Calibri" w:cs="Calibri"/>
          <w:b/>
          <w:bCs/>
          <w:sz w:val="22"/>
          <w:szCs w:val="22"/>
          <w:lang w:val="en-US"/>
        </w:rPr>
        <w:t xml:space="preserve">550,557 square </w:t>
      </w:r>
      <w:proofErr w:type="spellStart"/>
      <w:r w:rsidRPr="007F2DA9">
        <w:rPr>
          <w:rFonts w:ascii="Calibri" w:hAnsi="Calibri" w:cs="Calibri"/>
          <w:b/>
          <w:bCs/>
          <w:sz w:val="22"/>
          <w:szCs w:val="22"/>
          <w:lang w:val="en-US"/>
        </w:rPr>
        <w:t>metres</w:t>
      </w:r>
      <w:proofErr w:type="spellEnd"/>
      <w:r w:rsidRPr="007F2DA9">
        <w:rPr>
          <w:rFonts w:ascii="Calibri" w:hAnsi="Calibri" w:cs="Calibri"/>
          <w:sz w:val="22"/>
          <w:szCs w:val="22"/>
          <w:lang w:val="en-US"/>
        </w:rPr>
        <w:t xml:space="preserve">. These figures were complemented by the Group’s conference business, which hosted </w:t>
      </w:r>
      <w:r w:rsidRPr="007F2DA9">
        <w:rPr>
          <w:rFonts w:ascii="Calibri" w:hAnsi="Calibri" w:cs="Calibri"/>
          <w:b/>
          <w:bCs/>
          <w:sz w:val="22"/>
          <w:szCs w:val="22"/>
          <w:lang w:val="en-US"/>
        </w:rPr>
        <w:t>274 conferences and congresses</w:t>
      </w:r>
      <w:r w:rsidRPr="007F2DA9">
        <w:rPr>
          <w:rFonts w:ascii="Calibri" w:hAnsi="Calibri" w:cs="Calibri"/>
          <w:sz w:val="22"/>
          <w:szCs w:val="22"/>
          <w:lang w:val="en-US"/>
        </w:rPr>
        <w:t xml:space="preserve">, involving approximately </w:t>
      </w:r>
      <w:r w:rsidRPr="007F2DA9">
        <w:rPr>
          <w:rFonts w:ascii="Calibri" w:hAnsi="Calibri" w:cs="Calibri"/>
          <w:b/>
          <w:bCs/>
          <w:sz w:val="22"/>
          <w:szCs w:val="22"/>
          <w:lang w:val="en-US"/>
        </w:rPr>
        <w:t>46,000 delegates and professionals</w:t>
      </w:r>
      <w:r w:rsidRPr="007F2DA9">
        <w:rPr>
          <w:rFonts w:ascii="Calibri" w:hAnsi="Calibri" w:cs="Calibri"/>
          <w:sz w:val="22"/>
          <w:szCs w:val="22"/>
          <w:lang w:val="en-US"/>
        </w:rPr>
        <w:t>.</w:t>
      </w:r>
    </w:p>
    <w:p w14:paraId="3FBF567F"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“The 2025 financial statements confirm a performance in line with the solid results achieved in 2024, demonstrating the strength of an industrial model capable of generating both revenue and profitability,” said </w:t>
      </w:r>
      <w:r w:rsidRPr="007F2DA9">
        <w:rPr>
          <w:rFonts w:ascii="Calibri" w:hAnsi="Calibri" w:cs="Calibri"/>
          <w:b/>
          <w:bCs/>
          <w:sz w:val="22"/>
          <w:szCs w:val="22"/>
          <w:lang w:val="en-US"/>
        </w:rPr>
        <w:t>Federico Bricolo, President of Veronafiere</w:t>
      </w:r>
      <w:r w:rsidRPr="007F2DA9">
        <w:rPr>
          <w:rFonts w:ascii="Calibri" w:hAnsi="Calibri" w:cs="Calibri"/>
          <w:sz w:val="22"/>
          <w:szCs w:val="22"/>
          <w:lang w:val="en-US"/>
        </w:rPr>
        <w:t xml:space="preserve">. “A particularly remarkable aspect of 2025 was the launch of seven new events, reflecting a strategy that combines strong roots in Italy with global expansion. This highlights our dynamic approach to portfolio development, based on listening to industry needs, monitoring emerging trends and strengthening our presence in sectors aligned with the transformation of the economy and society. These results are the outcome of the shared commitment of the Board of Directors, management, all Group employees and our subsidiaries, who worked with professionalism and dedication. </w:t>
      </w:r>
      <w:proofErr w:type="spellStart"/>
      <w:r w:rsidRPr="007F2DA9">
        <w:rPr>
          <w:rFonts w:ascii="Calibri" w:hAnsi="Calibri" w:cs="Calibri"/>
          <w:sz w:val="22"/>
          <w:szCs w:val="22"/>
          <w:lang w:val="en-US"/>
        </w:rPr>
        <w:t>Veronafiere’s</w:t>
      </w:r>
      <w:proofErr w:type="spellEnd"/>
      <w:r w:rsidRPr="007F2DA9">
        <w:rPr>
          <w:rFonts w:ascii="Calibri" w:hAnsi="Calibri" w:cs="Calibri"/>
          <w:sz w:val="22"/>
          <w:szCs w:val="22"/>
          <w:lang w:val="en-US"/>
        </w:rPr>
        <w:t xml:space="preserve"> objective remains to create long-term value for shareholders, businesses, local communities and the broader economic system, which finds in our events not only markets but also vision, connections and opportunities for growth.”</w:t>
      </w:r>
    </w:p>
    <w:p w14:paraId="2A661E67"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Alongside the launch of new events, the Group continued to expand successful formats beyond the Verona exhibition </w:t>
      </w:r>
      <w:proofErr w:type="spellStart"/>
      <w:r w:rsidRPr="007F2DA9">
        <w:rPr>
          <w:rFonts w:ascii="Calibri" w:hAnsi="Calibri" w:cs="Calibri"/>
          <w:sz w:val="22"/>
          <w:szCs w:val="22"/>
          <w:lang w:val="en-US"/>
        </w:rPr>
        <w:t>centre</w:t>
      </w:r>
      <w:proofErr w:type="spellEnd"/>
      <w:r w:rsidRPr="007F2DA9">
        <w:rPr>
          <w:rFonts w:ascii="Calibri" w:hAnsi="Calibri" w:cs="Calibri"/>
          <w:sz w:val="22"/>
          <w:szCs w:val="22"/>
          <w:lang w:val="en-US"/>
        </w:rPr>
        <w:t xml:space="preserve">, including </w:t>
      </w:r>
      <w:r w:rsidRPr="007F2DA9">
        <w:rPr>
          <w:rFonts w:ascii="Calibri" w:hAnsi="Calibri" w:cs="Calibri"/>
          <w:b/>
          <w:bCs/>
          <w:sz w:val="22"/>
          <w:szCs w:val="22"/>
          <w:lang w:val="en-US"/>
        </w:rPr>
        <w:t xml:space="preserve">Vinitaly and the City in </w:t>
      </w:r>
      <w:proofErr w:type="spellStart"/>
      <w:r w:rsidRPr="007F2DA9">
        <w:rPr>
          <w:rFonts w:ascii="Calibri" w:hAnsi="Calibri" w:cs="Calibri"/>
          <w:b/>
          <w:bCs/>
          <w:sz w:val="22"/>
          <w:szCs w:val="22"/>
          <w:lang w:val="en-US"/>
        </w:rPr>
        <w:t>Sibari</w:t>
      </w:r>
      <w:proofErr w:type="spellEnd"/>
      <w:r w:rsidRPr="007F2DA9">
        <w:rPr>
          <w:rFonts w:ascii="Calibri" w:hAnsi="Calibri" w:cs="Calibri"/>
          <w:sz w:val="22"/>
          <w:szCs w:val="22"/>
          <w:lang w:val="en-US"/>
        </w:rPr>
        <w:t xml:space="preserve">, </w:t>
      </w:r>
      <w:r w:rsidRPr="007F2DA9">
        <w:rPr>
          <w:rFonts w:ascii="Calibri" w:hAnsi="Calibri" w:cs="Calibri"/>
          <w:b/>
          <w:bCs/>
          <w:sz w:val="22"/>
          <w:szCs w:val="22"/>
          <w:lang w:val="en-US"/>
        </w:rPr>
        <w:t>SOL and the City in Catanzaro</w:t>
      </w:r>
      <w:r w:rsidRPr="007F2DA9">
        <w:rPr>
          <w:rFonts w:ascii="Calibri" w:hAnsi="Calibri" w:cs="Calibri"/>
          <w:sz w:val="22"/>
          <w:szCs w:val="22"/>
          <w:lang w:val="en-US"/>
        </w:rPr>
        <w:t xml:space="preserve">, and </w:t>
      </w:r>
      <w:proofErr w:type="spellStart"/>
      <w:r w:rsidRPr="007F2DA9">
        <w:rPr>
          <w:rFonts w:ascii="Calibri" w:hAnsi="Calibri" w:cs="Calibri"/>
          <w:b/>
          <w:bCs/>
          <w:sz w:val="22"/>
          <w:szCs w:val="22"/>
          <w:lang w:val="en-US"/>
        </w:rPr>
        <w:t>JOB&amp;Orienta</w:t>
      </w:r>
      <w:proofErr w:type="spellEnd"/>
      <w:r w:rsidRPr="007F2DA9">
        <w:rPr>
          <w:rFonts w:ascii="Calibri" w:hAnsi="Calibri" w:cs="Calibri"/>
          <w:b/>
          <w:bCs/>
          <w:sz w:val="22"/>
          <w:szCs w:val="22"/>
          <w:lang w:val="en-US"/>
        </w:rPr>
        <w:t xml:space="preserve"> </w:t>
      </w:r>
      <w:r w:rsidRPr="007F2DA9">
        <w:rPr>
          <w:rFonts w:ascii="Calibri" w:hAnsi="Calibri" w:cs="Calibri"/>
          <w:b/>
          <w:bCs/>
          <w:sz w:val="22"/>
          <w:szCs w:val="22"/>
          <w:lang w:val="en-US"/>
        </w:rPr>
        <w:lastRenderedPageBreak/>
        <w:t>in Bari</w:t>
      </w:r>
      <w:r w:rsidRPr="007F2DA9">
        <w:rPr>
          <w:rFonts w:ascii="Calibri" w:hAnsi="Calibri" w:cs="Calibri"/>
          <w:sz w:val="22"/>
          <w:szCs w:val="22"/>
          <w:lang w:val="en-US"/>
        </w:rPr>
        <w:t>. For Veronafiere, growth also means replicating successful exhibition brands and adapting them to different territories and local needs.</w:t>
      </w:r>
    </w:p>
    <w:p w14:paraId="2AA92E36"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Internationally, the Group’s direct presence in the </w:t>
      </w:r>
      <w:r w:rsidRPr="007F2DA9">
        <w:rPr>
          <w:rFonts w:ascii="Calibri" w:hAnsi="Calibri" w:cs="Calibri"/>
          <w:b/>
          <w:bCs/>
          <w:sz w:val="22"/>
          <w:szCs w:val="22"/>
          <w:lang w:val="en-US"/>
        </w:rPr>
        <w:t>United States, Brazil and China</w:t>
      </w:r>
      <w:r w:rsidRPr="007F2DA9">
        <w:rPr>
          <w:rFonts w:ascii="Calibri" w:hAnsi="Calibri" w:cs="Calibri"/>
          <w:sz w:val="22"/>
          <w:szCs w:val="22"/>
          <w:lang w:val="en-US"/>
        </w:rPr>
        <w:t xml:space="preserve">, supported by a network of </w:t>
      </w:r>
      <w:r w:rsidRPr="007F2DA9">
        <w:rPr>
          <w:rFonts w:ascii="Calibri" w:hAnsi="Calibri" w:cs="Calibri"/>
          <w:b/>
          <w:bCs/>
          <w:sz w:val="22"/>
          <w:szCs w:val="22"/>
          <w:lang w:val="en-US"/>
        </w:rPr>
        <w:t>60 international representatives</w:t>
      </w:r>
      <w:r w:rsidRPr="007F2DA9">
        <w:rPr>
          <w:rFonts w:ascii="Calibri" w:hAnsi="Calibri" w:cs="Calibri"/>
          <w:sz w:val="22"/>
          <w:szCs w:val="22"/>
          <w:lang w:val="en-US"/>
        </w:rPr>
        <w:t xml:space="preserve">, continued to assist companies in accessing new markets, expanding Veronafiere brands in high-potential regions and attracting international buyers to events in Italy. Institutional partnerships with </w:t>
      </w:r>
      <w:r w:rsidRPr="007F2DA9">
        <w:rPr>
          <w:rFonts w:ascii="Calibri" w:hAnsi="Calibri" w:cs="Calibri"/>
          <w:b/>
          <w:bCs/>
          <w:sz w:val="22"/>
          <w:szCs w:val="22"/>
          <w:lang w:val="en-US"/>
        </w:rPr>
        <w:t>ITA – Italian Trade Agency</w:t>
      </w:r>
      <w:r w:rsidRPr="007F2DA9">
        <w:rPr>
          <w:rFonts w:ascii="Calibri" w:hAnsi="Calibri" w:cs="Calibri"/>
          <w:sz w:val="22"/>
          <w:szCs w:val="22"/>
          <w:lang w:val="en-US"/>
        </w:rPr>
        <w:t>, government ministries, embassies and chambers of commerce were further strengthened as part of this international development framework supporting Made in Italy excellence.</w:t>
      </w:r>
    </w:p>
    <w:p w14:paraId="375E8A76"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The year 2025 was also significant from a governance perspective. The Shareholders’ Meeting renewed the Board of Directors for the </w:t>
      </w:r>
      <w:r w:rsidRPr="007F2DA9">
        <w:rPr>
          <w:rFonts w:ascii="Calibri" w:hAnsi="Calibri" w:cs="Calibri"/>
          <w:b/>
          <w:bCs/>
          <w:sz w:val="22"/>
          <w:szCs w:val="22"/>
          <w:lang w:val="en-US"/>
        </w:rPr>
        <w:t>2025–2028 term</w:t>
      </w:r>
      <w:r w:rsidRPr="007F2DA9">
        <w:rPr>
          <w:rFonts w:ascii="Calibri" w:hAnsi="Calibri" w:cs="Calibri"/>
          <w:sz w:val="22"/>
          <w:szCs w:val="22"/>
          <w:lang w:val="en-US"/>
        </w:rPr>
        <w:t>, confirming the current presidency and introducing a substantially renewed composition which, for the first time, features a female majority.</w:t>
      </w:r>
    </w:p>
    <w:p w14:paraId="40F2973A" w14:textId="77777777" w:rsidR="007F2DA9" w:rsidRP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 xml:space="preserve">Throughout the year, Veronafiere also strengthened its ESG strategy. Sustainability was integrated into decision-making processes at every level of the organization through dedicated working groups. The Group renewed its </w:t>
      </w:r>
      <w:r w:rsidRPr="007F2DA9">
        <w:rPr>
          <w:rFonts w:ascii="Calibri" w:hAnsi="Calibri" w:cs="Calibri"/>
          <w:b/>
          <w:bCs/>
          <w:sz w:val="22"/>
          <w:szCs w:val="22"/>
          <w:lang w:val="en-US"/>
        </w:rPr>
        <w:t>ISO 50001 certification</w:t>
      </w:r>
      <w:r w:rsidRPr="007F2DA9">
        <w:rPr>
          <w:rFonts w:ascii="Calibri" w:hAnsi="Calibri" w:cs="Calibri"/>
          <w:sz w:val="22"/>
          <w:szCs w:val="22"/>
          <w:lang w:val="en-US"/>
        </w:rPr>
        <w:t xml:space="preserve"> for energy management and obtained </w:t>
      </w:r>
      <w:r w:rsidRPr="007F2DA9">
        <w:rPr>
          <w:rFonts w:ascii="Calibri" w:hAnsi="Calibri" w:cs="Calibri"/>
          <w:b/>
          <w:bCs/>
          <w:sz w:val="22"/>
          <w:szCs w:val="22"/>
          <w:lang w:val="en-US"/>
        </w:rPr>
        <w:t>UNI/</w:t>
      </w:r>
      <w:proofErr w:type="spellStart"/>
      <w:r w:rsidRPr="007F2DA9">
        <w:rPr>
          <w:rFonts w:ascii="Calibri" w:hAnsi="Calibri" w:cs="Calibri"/>
          <w:b/>
          <w:bCs/>
          <w:sz w:val="22"/>
          <w:szCs w:val="22"/>
          <w:lang w:val="en-US"/>
        </w:rPr>
        <w:t>PdR</w:t>
      </w:r>
      <w:proofErr w:type="spellEnd"/>
      <w:r w:rsidRPr="007F2DA9">
        <w:rPr>
          <w:rFonts w:ascii="Calibri" w:hAnsi="Calibri" w:cs="Calibri"/>
          <w:b/>
          <w:bCs/>
          <w:sz w:val="22"/>
          <w:szCs w:val="22"/>
          <w:lang w:val="en-US"/>
        </w:rPr>
        <w:t xml:space="preserve"> 125:2022 certification</w:t>
      </w:r>
      <w:r w:rsidRPr="007F2DA9">
        <w:rPr>
          <w:rFonts w:ascii="Calibri" w:hAnsi="Calibri" w:cs="Calibri"/>
          <w:sz w:val="22"/>
          <w:szCs w:val="22"/>
          <w:lang w:val="en-US"/>
        </w:rPr>
        <w:t xml:space="preserve"> for gender equality, reflecting internal policies focused on inclusion, equal opportunities and the promotion of a corporate culture based on respect, empowerment and employee wellbeing.</w:t>
      </w:r>
    </w:p>
    <w:p w14:paraId="35A0550D" w14:textId="77777777" w:rsidR="007F2DA9" w:rsidRDefault="007F2DA9" w:rsidP="007F2DA9">
      <w:pPr>
        <w:spacing w:after="0" w:line="240" w:lineRule="auto"/>
        <w:jc w:val="both"/>
        <w:rPr>
          <w:rFonts w:ascii="Calibri" w:hAnsi="Calibri" w:cs="Calibri"/>
          <w:sz w:val="22"/>
          <w:szCs w:val="22"/>
          <w:lang w:val="en-US"/>
        </w:rPr>
      </w:pPr>
      <w:r w:rsidRPr="007F2DA9">
        <w:rPr>
          <w:rFonts w:ascii="Calibri" w:hAnsi="Calibri" w:cs="Calibri"/>
          <w:sz w:val="22"/>
          <w:szCs w:val="22"/>
          <w:lang w:val="en-US"/>
        </w:rPr>
        <w:t>Finally, a new Company Supplementary Agreement was signed, introducing a range of concrete measures aimed at enhancing corporate welfare, work-life balance and talent development.</w:t>
      </w:r>
    </w:p>
    <w:p w14:paraId="613E721C" w14:textId="77777777" w:rsidR="007F2DA9" w:rsidRPr="007F2DA9" w:rsidRDefault="007F2DA9" w:rsidP="007F2DA9">
      <w:pPr>
        <w:spacing w:after="0" w:line="240" w:lineRule="auto"/>
        <w:rPr>
          <w:rFonts w:ascii="Calibri" w:hAnsi="Calibri" w:cs="Calibri"/>
          <w:sz w:val="22"/>
          <w:szCs w:val="22"/>
          <w:lang w:val="en-US"/>
        </w:rPr>
      </w:pPr>
    </w:p>
    <w:p w14:paraId="62EBAA6A" w14:textId="77777777" w:rsidR="007F2DA9" w:rsidRPr="007F2DA9" w:rsidRDefault="007F2DA9" w:rsidP="007F2DA9">
      <w:pPr>
        <w:spacing w:after="0" w:line="240" w:lineRule="auto"/>
        <w:rPr>
          <w:rFonts w:ascii="Calibri" w:hAnsi="Calibri" w:cs="Calibri"/>
          <w:b/>
          <w:bCs/>
          <w:sz w:val="22"/>
          <w:szCs w:val="22"/>
          <w:lang w:val="en-US"/>
        </w:rPr>
      </w:pPr>
      <w:r w:rsidRPr="007F2DA9">
        <w:rPr>
          <w:rFonts w:ascii="Calibri" w:hAnsi="Calibri" w:cs="Calibri"/>
          <w:b/>
          <w:bCs/>
          <w:sz w:val="22"/>
          <w:szCs w:val="22"/>
          <w:lang w:val="en-US"/>
        </w:rPr>
        <w:t>VERONAFIERE S.P.A. SHAREHOLDING STRUCTURE</w:t>
      </w:r>
    </w:p>
    <w:p w14:paraId="05F5846B" w14:textId="77777777" w:rsidR="007F2DA9" w:rsidRPr="007F2DA9" w:rsidRDefault="007F2DA9" w:rsidP="007F2DA9">
      <w:pPr>
        <w:numPr>
          <w:ilvl w:val="0"/>
          <w:numId w:val="3"/>
        </w:numPr>
        <w:spacing w:after="0" w:line="240" w:lineRule="auto"/>
        <w:rPr>
          <w:rFonts w:ascii="Calibri" w:hAnsi="Calibri" w:cs="Calibri"/>
          <w:sz w:val="22"/>
          <w:szCs w:val="22"/>
        </w:rPr>
      </w:pPr>
      <w:proofErr w:type="spellStart"/>
      <w:r w:rsidRPr="007F2DA9">
        <w:rPr>
          <w:rFonts w:ascii="Calibri" w:hAnsi="Calibri" w:cs="Calibri"/>
          <w:sz w:val="22"/>
          <w:szCs w:val="22"/>
        </w:rPr>
        <w:t>Municipality</w:t>
      </w:r>
      <w:proofErr w:type="spellEnd"/>
      <w:r w:rsidRPr="007F2DA9">
        <w:rPr>
          <w:rFonts w:ascii="Calibri" w:hAnsi="Calibri" w:cs="Calibri"/>
          <w:sz w:val="22"/>
          <w:szCs w:val="22"/>
        </w:rPr>
        <w:t xml:space="preserve"> of Verona: 39.483%</w:t>
      </w:r>
    </w:p>
    <w:p w14:paraId="36E5C388" w14:textId="77777777" w:rsidR="007F2DA9" w:rsidRPr="007F2DA9" w:rsidRDefault="007F2DA9" w:rsidP="007F2DA9">
      <w:pPr>
        <w:numPr>
          <w:ilvl w:val="0"/>
          <w:numId w:val="3"/>
        </w:numPr>
        <w:spacing w:after="0" w:line="240" w:lineRule="auto"/>
        <w:rPr>
          <w:rFonts w:ascii="Calibri" w:hAnsi="Calibri" w:cs="Calibri"/>
          <w:sz w:val="22"/>
          <w:szCs w:val="22"/>
        </w:rPr>
      </w:pPr>
      <w:r w:rsidRPr="007F2DA9">
        <w:rPr>
          <w:rFonts w:ascii="Calibri" w:hAnsi="Calibri" w:cs="Calibri"/>
          <w:sz w:val="22"/>
          <w:szCs w:val="22"/>
        </w:rPr>
        <w:t>Cariverona Foundation (Fondazione Cassa di Risparmio di Verona, Vicenza, Belluno e Ancona): 24.078%</w:t>
      </w:r>
    </w:p>
    <w:p w14:paraId="278AF6E6" w14:textId="77777777" w:rsidR="007F2DA9" w:rsidRPr="007F2DA9" w:rsidRDefault="007F2DA9" w:rsidP="007F2DA9">
      <w:pPr>
        <w:numPr>
          <w:ilvl w:val="0"/>
          <w:numId w:val="3"/>
        </w:numPr>
        <w:spacing w:after="0" w:line="240" w:lineRule="auto"/>
        <w:rPr>
          <w:rFonts w:ascii="Calibri" w:hAnsi="Calibri" w:cs="Calibri"/>
          <w:sz w:val="22"/>
          <w:szCs w:val="22"/>
        </w:rPr>
      </w:pPr>
      <w:r w:rsidRPr="007F2DA9">
        <w:rPr>
          <w:rFonts w:ascii="Calibri" w:hAnsi="Calibri" w:cs="Calibri"/>
          <w:sz w:val="22"/>
          <w:szCs w:val="22"/>
        </w:rPr>
        <w:t>Verona Chamber of Commerce: 14.364%</w:t>
      </w:r>
    </w:p>
    <w:p w14:paraId="192E9BC4" w14:textId="77777777" w:rsidR="007F2DA9" w:rsidRPr="007F2DA9" w:rsidRDefault="007F2DA9" w:rsidP="007F2DA9">
      <w:pPr>
        <w:numPr>
          <w:ilvl w:val="0"/>
          <w:numId w:val="3"/>
        </w:numPr>
        <w:spacing w:after="0" w:line="240" w:lineRule="auto"/>
        <w:rPr>
          <w:rFonts w:ascii="Calibri" w:hAnsi="Calibri" w:cs="Calibri"/>
          <w:sz w:val="22"/>
          <w:szCs w:val="22"/>
        </w:rPr>
      </w:pPr>
      <w:r w:rsidRPr="007F2DA9">
        <w:rPr>
          <w:rFonts w:ascii="Calibri" w:hAnsi="Calibri" w:cs="Calibri"/>
          <w:sz w:val="22"/>
          <w:szCs w:val="22"/>
        </w:rPr>
        <w:t>Banco BPM S.p.A.: 7.0094%</w:t>
      </w:r>
    </w:p>
    <w:p w14:paraId="2C1A6940" w14:textId="77777777" w:rsidR="007F2DA9" w:rsidRPr="007F2DA9" w:rsidRDefault="007F2DA9" w:rsidP="007F2DA9">
      <w:pPr>
        <w:numPr>
          <w:ilvl w:val="0"/>
          <w:numId w:val="3"/>
        </w:numPr>
        <w:spacing w:after="0" w:line="240" w:lineRule="auto"/>
        <w:rPr>
          <w:rFonts w:ascii="Calibri" w:hAnsi="Calibri" w:cs="Calibri"/>
          <w:sz w:val="22"/>
          <w:szCs w:val="22"/>
        </w:rPr>
      </w:pPr>
      <w:r w:rsidRPr="007F2DA9">
        <w:rPr>
          <w:rFonts w:ascii="Calibri" w:hAnsi="Calibri" w:cs="Calibri"/>
          <w:sz w:val="22"/>
          <w:szCs w:val="22"/>
        </w:rPr>
        <w:t>Generali Italia S.p.A.: 6.0106%</w:t>
      </w:r>
    </w:p>
    <w:p w14:paraId="0C4474D3" w14:textId="77777777" w:rsidR="007F2DA9" w:rsidRPr="007F2DA9" w:rsidRDefault="007F2DA9" w:rsidP="007F2DA9">
      <w:pPr>
        <w:numPr>
          <w:ilvl w:val="0"/>
          <w:numId w:val="3"/>
        </w:numPr>
        <w:spacing w:after="0" w:line="240" w:lineRule="auto"/>
        <w:rPr>
          <w:rFonts w:ascii="Calibri" w:hAnsi="Calibri" w:cs="Calibri"/>
          <w:sz w:val="22"/>
          <w:szCs w:val="22"/>
          <w:lang w:val="en-US"/>
        </w:rPr>
      </w:pPr>
      <w:r w:rsidRPr="007F2DA9">
        <w:rPr>
          <w:rFonts w:ascii="Calibri" w:hAnsi="Calibri" w:cs="Calibri"/>
          <w:sz w:val="22"/>
          <w:szCs w:val="22"/>
          <w:lang w:val="en-US"/>
        </w:rPr>
        <w:t>Veneto Agency for Innovation in the Primary Sector: 5.4920%</w:t>
      </w:r>
    </w:p>
    <w:p w14:paraId="39427B73" w14:textId="77777777" w:rsidR="007F2DA9" w:rsidRPr="007F2DA9" w:rsidRDefault="007F2DA9" w:rsidP="007F2DA9">
      <w:pPr>
        <w:numPr>
          <w:ilvl w:val="0"/>
          <w:numId w:val="3"/>
        </w:numPr>
        <w:spacing w:after="0" w:line="240" w:lineRule="auto"/>
        <w:rPr>
          <w:rFonts w:ascii="Calibri" w:hAnsi="Calibri" w:cs="Calibri"/>
          <w:sz w:val="22"/>
          <w:szCs w:val="22"/>
        </w:rPr>
      </w:pPr>
      <w:r w:rsidRPr="007F2DA9">
        <w:rPr>
          <w:rFonts w:ascii="Calibri" w:hAnsi="Calibri" w:cs="Calibri"/>
          <w:sz w:val="22"/>
          <w:szCs w:val="22"/>
        </w:rPr>
        <w:t>Province of Verona: 1.4019%</w:t>
      </w:r>
    </w:p>
    <w:p w14:paraId="4686B87A" w14:textId="77777777" w:rsidR="007F2DA9" w:rsidRPr="007F2DA9" w:rsidRDefault="007F2DA9" w:rsidP="007F2DA9">
      <w:pPr>
        <w:numPr>
          <w:ilvl w:val="0"/>
          <w:numId w:val="3"/>
        </w:numPr>
        <w:spacing w:after="0" w:line="240" w:lineRule="auto"/>
        <w:rPr>
          <w:rFonts w:ascii="Calibri" w:hAnsi="Calibri" w:cs="Calibri"/>
          <w:sz w:val="22"/>
          <w:szCs w:val="22"/>
        </w:rPr>
      </w:pPr>
      <w:r w:rsidRPr="007F2DA9">
        <w:rPr>
          <w:rFonts w:ascii="Calibri" w:hAnsi="Calibri" w:cs="Calibri"/>
          <w:sz w:val="22"/>
          <w:szCs w:val="22"/>
        </w:rPr>
        <w:t>Intesa Sanpaolo S.p.A.: 1.3541%</w:t>
      </w:r>
    </w:p>
    <w:p w14:paraId="39600806" w14:textId="77777777" w:rsidR="007F2DA9" w:rsidRPr="007F2DA9" w:rsidRDefault="007F2DA9" w:rsidP="007F2DA9">
      <w:pPr>
        <w:numPr>
          <w:ilvl w:val="0"/>
          <w:numId w:val="3"/>
        </w:numPr>
        <w:spacing w:after="0" w:line="240" w:lineRule="auto"/>
        <w:rPr>
          <w:rFonts w:ascii="Calibri" w:hAnsi="Calibri" w:cs="Calibri"/>
          <w:sz w:val="22"/>
          <w:szCs w:val="22"/>
        </w:rPr>
      </w:pPr>
      <w:r w:rsidRPr="007F2DA9">
        <w:rPr>
          <w:rFonts w:ascii="Calibri" w:hAnsi="Calibri" w:cs="Calibri"/>
          <w:sz w:val="22"/>
          <w:szCs w:val="22"/>
        </w:rPr>
        <w:t>Banca Veronese Credito Cooperativo di Concamarise: 0.6179%</w:t>
      </w:r>
    </w:p>
    <w:p w14:paraId="342090A4" w14:textId="77777777" w:rsidR="007F2DA9" w:rsidRPr="007F2DA9" w:rsidRDefault="007F2DA9" w:rsidP="007F2DA9">
      <w:pPr>
        <w:numPr>
          <w:ilvl w:val="0"/>
          <w:numId w:val="3"/>
        </w:numPr>
        <w:spacing w:after="0" w:line="240" w:lineRule="auto"/>
        <w:rPr>
          <w:rFonts w:ascii="Calibri" w:hAnsi="Calibri" w:cs="Calibri"/>
          <w:sz w:val="22"/>
          <w:szCs w:val="22"/>
        </w:rPr>
      </w:pPr>
      <w:r w:rsidRPr="007F2DA9">
        <w:rPr>
          <w:rFonts w:ascii="Calibri" w:hAnsi="Calibri" w:cs="Calibri"/>
          <w:sz w:val="22"/>
          <w:szCs w:val="22"/>
        </w:rPr>
        <w:t>Immobiliare Magazzini S.r.l.: 0.1883%</w:t>
      </w:r>
    </w:p>
    <w:p w14:paraId="0E3E32F2" w14:textId="77777777" w:rsidR="00B45988" w:rsidRPr="00B45988" w:rsidRDefault="00B45988" w:rsidP="008C453F">
      <w:pPr>
        <w:spacing w:after="0" w:line="240" w:lineRule="auto"/>
        <w:rPr>
          <w:rFonts w:ascii="Calibri" w:hAnsi="Calibri" w:cs="Calibri"/>
          <w:sz w:val="22"/>
          <w:szCs w:val="22"/>
        </w:rPr>
      </w:pPr>
    </w:p>
    <w:p w14:paraId="27D3B1D7" w14:textId="1E67C6B1" w:rsidR="008C453F" w:rsidRPr="00B45988" w:rsidRDefault="008C453F" w:rsidP="008C453F">
      <w:pPr>
        <w:spacing w:after="0" w:line="240" w:lineRule="auto"/>
        <w:rPr>
          <w:rFonts w:ascii="Calibri" w:hAnsi="Calibri" w:cs="Calibri"/>
          <w:b/>
          <w:bCs/>
          <w:sz w:val="22"/>
          <w:szCs w:val="22"/>
        </w:rPr>
      </w:pPr>
      <w:r w:rsidRPr="00B45988">
        <w:rPr>
          <w:rFonts w:ascii="Calibri" w:hAnsi="Calibri" w:cs="Calibri"/>
          <w:b/>
          <w:bCs/>
          <w:sz w:val="22"/>
          <w:szCs w:val="22"/>
        </w:rPr>
        <w:t xml:space="preserve">Corporate &amp; Product </w:t>
      </w:r>
      <w:proofErr w:type="spellStart"/>
      <w:r w:rsidRPr="00B45988">
        <w:rPr>
          <w:rFonts w:ascii="Calibri" w:hAnsi="Calibri" w:cs="Calibri"/>
          <w:b/>
          <w:bCs/>
          <w:sz w:val="22"/>
          <w:szCs w:val="22"/>
        </w:rPr>
        <w:t>Communication</w:t>
      </w:r>
      <w:proofErr w:type="spellEnd"/>
      <w:r w:rsidRPr="00B45988">
        <w:rPr>
          <w:rFonts w:ascii="Calibri" w:hAnsi="Calibri" w:cs="Calibri"/>
          <w:b/>
          <w:bCs/>
          <w:sz w:val="22"/>
          <w:szCs w:val="22"/>
        </w:rPr>
        <w:t xml:space="preserve"> Veronafiere </w:t>
      </w:r>
    </w:p>
    <w:p w14:paraId="7F5A555A" w14:textId="2874A5E2" w:rsidR="008C453F" w:rsidRPr="00B45988" w:rsidRDefault="0086722F" w:rsidP="008C453F">
      <w:pPr>
        <w:spacing w:after="0" w:line="240" w:lineRule="auto"/>
        <w:rPr>
          <w:rFonts w:ascii="Calibri" w:hAnsi="Calibri" w:cs="Calibri"/>
          <w:sz w:val="22"/>
          <w:szCs w:val="22"/>
        </w:rPr>
      </w:pPr>
      <w:r w:rsidRPr="00B45988">
        <w:rPr>
          <w:rFonts w:ascii="Calibri" w:hAnsi="Calibri" w:cs="Calibri"/>
          <w:sz w:val="22"/>
          <w:szCs w:val="22"/>
        </w:rPr>
        <w:t xml:space="preserve">Responsabile, </w:t>
      </w:r>
      <w:r w:rsidR="008C453F" w:rsidRPr="00B45988">
        <w:rPr>
          <w:rFonts w:ascii="Calibri" w:hAnsi="Calibri" w:cs="Calibri"/>
          <w:sz w:val="22"/>
          <w:szCs w:val="22"/>
        </w:rPr>
        <w:t>Carlo Alberto Delaini T. 045.82982</w:t>
      </w:r>
      <w:r w:rsidRPr="00B45988">
        <w:rPr>
          <w:rFonts w:ascii="Calibri" w:hAnsi="Calibri" w:cs="Calibri"/>
          <w:sz w:val="22"/>
          <w:szCs w:val="22"/>
        </w:rPr>
        <w:t>10</w:t>
      </w:r>
      <w:r w:rsidR="008C453F" w:rsidRPr="00B45988">
        <w:rPr>
          <w:rFonts w:ascii="Calibri" w:hAnsi="Calibri" w:cs="Calibri"/>
          <w:sz w:val="22"/>
          <w:szCs w:val="22"/>
        </w:rPr>
        <w:t>-427| M +39 3357367388</w:t>
      </w:r>
    </w:p>
    <w:p w14:paraId="7637E01B" w14:textId="42372673" w:rsidR="008C453F" w:rsidRPr="00B45988" w:rsidRDefault="0086722F" w:rsidP="008C453F">
      <w:pPr>
        <w:spacing w:after="0" w:line="240" w:lineRule="auto"/>
        <w:rPr>
          <w:rFonts w:ascii="Calibri" w:hAnsi="Calibri" w:cs="Calibri"/>
          <w:sz w:val="22"/>
          <w:szCs w:val="22"/>
        </w:rPr>
      </w:pPr>
      <w:r w:rsidRPr="00B45988">
        <w:rPr>
          <w:rFonts w:ascii="Calibri" w:hAnsi="Calibri" w:cs="Calibri"/>
          <w:sz w:val="22"/>
          <w:szCs w:val="22"/>
        </w:rPr>
        <w:t>Capo Ufficio Stampa, Francesco Marchi T. 045.8298350-427|M +39 3346560174</w:t>
      </w:r>
    </w:p>
    <w:p w14:paraId="6923B575" w14:textId="77777777" w:rsidR="0086722F" w:rsidRPr="00B45988" w:rsidRDefault="0086722F" w:rsidP="0086722F">
      <w:pPr>
        <w:spacing w:after="0" w:line="240" w:lineRule="auto"/>
        <w:rPr>
          <w:rFonts w:ascii="Calibri" w:hAnsi="Calibri" w:cs="Calibri"/>
          <w:sz w:val="22"/>
          <w:szCs w:val="22"/>
        </w:rPr>
      </w:pPr>
      <w:r w:rsidRPr="00B45988">
        <w:rPr>
          <w:rFonts w:ascii="Calibri" w:hAnsi="Calibri" w:cs="Calibri"/>
          <w:sz w:val="22"/>
          <w:szCs w:val="22"/>
        </w:rPr>
        <w:t xml:space="preserve">E-mail: </w:t>
      </w:r>
      <w:hyperlink r:id="rId6" w:history="1">
        <w:r w:rsidRPr="00B45988">
          <w:rPr>
            <w:rStyle w:val="Collegamentoipertestuale"/>
            <w:rFonts w:ascii="Calibri" w:hAnsi="Calibri" w:cs="Calibri"/>
            <w:sz w:val="22"/>
            <w:szCs w:val="22"/>
          </w:rPr>
          <w:t>pressoffice@veronafiere.it</w:t>
        </w:r>
      </w:hyperlink>
      <w:r w:rsidRPr="00B45988">
        <w:rPr>
          <w:rFonts w:ascii="Calibri" w:hAnsi="Calibri" w:cs="Calibri"/>
          <w:sz w:val="22"/>
          <w:szCs w:val="22"/>
        </w:rPr>
        <w:t xml:space="preserve">  Web: </w:t>
      </w:r>
      <w:hyperlink r:id="rId7" w:history="1">
        <w:r w:rsidRPr="00B45988">
          <w:rPr>
            <w:rStyle w:val="Collegamentoipertestuale"/>
            <w:rFonts w:ascii="Calibri" w:hAnsi="Calibri" w:cs="Calibri"/>
            <w:sz w:val="22"/>
            <w:szCs w:val="22"/>
          </w:rPr>
          <w:t>www.veronafiere.it</w:t>
        </w:r>
      </w:hyperlink>
    </w:p>
    <w:p w14:paraId="61007209" w14:textId="77777777" w:rsidR="0086722F" w:rsidRPr="00B45988" w:rsidRDefault="0086722F" w:rsidP="008C453F">
      <w:pPr>
        <w:spacing w:after="0" w:line="240" w:lineRule="auto"/>
        <w:rPr>
          <w:rFonts w:ascii="Calibri" w:hAnsi="Calibri" w:cs="Calibri"/>
          <w:sz w:val="22"/>
          <w:szCs w:val="22"/>
        </w:rPr>
      </w:pPr>
    </w:p>
    <w:sectPr w:rsidR="0086722F" w:rsidRPr="00B459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B2D5F"/>
    <w:multiLevelType w:val="multilevel"/>
    <w:tmpl w:val="8988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A05481"/>
    <w:multiLevelType w:val="multilevel"/>
    <w:tmpl w:val="1C5E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0A25B8"/>
    <w:multiLevelType w:val="multilevel"/>
    <w:tmpl w:val="90A0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437336">
    <w:abstractNumId w:val="2"/>
  </w:num>
  <w:num w:numId="2" w16cid:durableId="1058865376">
    <w:abstractNumId w:val="0"/>
  </w:num>
  <w:num w:numId="3" w16cid:durableId="713195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8B"/>
    <w:rsid w:val="00036E79"/>
    <w:rsid w:val="000F7E5C"/>
    <w:rsid w:val="00125757"/>
    <w:rsid w:val="001307F1"/>
    <w:rsid w:val="00155177"/>
    <w:rsid w:val="00162546"/>
    <w:rsid w:val="00175F4E"/>
    <w:rsid w:val="0019483A"/>
    <w:rsid w:val="001A39E9"/>
    <w:rsid w:val="002642B9"/>
    <w:rsid w:val="002C4386"/>
    <w:rsid w:val="003F0F35"/>
    <w:rsid w:val="003F4766"/>
    <w:rsid w:val="004330A7"/>
    <w:rsid w:val="004B698A"/>
    <w:rsid w:val="00553BDA"/>
    <w:rsid w:val="00584D78"/>
    <w:rsid w:val="005B4334"/>
    <w:rsid w:val="005B6668"/>
    <w:rsid w:val="005B6EAC"/>
    <w:rsid w:val="005D672E"/>
    <w:rsid w:val="005E08B8"/>
    <w:rsid w:val="005E384A"/>
    <w:rsid w:val="005F5B78"/>
    <w:rsid w:val="006405DE"/>
    <w:rsid w:val="00692FDE"/>
    <w:rsid w:val="006E6F16"/>
    <w:rsid w:val="0073045B"/>
    <w:rsid w:val="007F2DA9"/>
    <w:rsid w:val="0085236C"/>
    <w:rsid w:val="0086722F"/>
    <w:rsid w:val="008C453F"/>
    <w:rsid w:val="00980148"/>
    <w:rsid w:val="00990345"/>
    <w:rsid w:val="00992CAF"/>
    <w:rsid w:val="009F457F"/>
    <w:rsid w:val="00A010FE"/>
    <w:rsid w:val="00A27A26"/>
    <w:rsid w:val="00A30DEA"/>
    <w:rsid w:val="00AA1874"/>
    <w:rsid w:val="00AD6F2E"/>
    <w:rsid w:val="00B04732"/>
    <w:rsid w:val="00B350C5"/>
    <w:rsid w:val="00B45988"/>
    <w:rsid w:val="00B51345"/>
    <w:rsid w:val="00B62477"/>
    <w:rsid w:val="00B63ECB"/>
    <w:rsid w:val="00B8156F"/>
    <w:rsid w:val="00D35423"/>
    <w:rsid w:val="00D52ACB"/>
    <w:rsid w:val="00DB1C64"/>
    <w:rsid w:val="00DC6A25"/>
    <w:rsid w:val="00E037FA"/>
    <w:rsid w:val="00E4361C"/>
    <w:rsid w:val="00E903B7"/>
    <w:rsid w:val="00EC5825"/>
    <w:rsid w:val="00ED07FA"/>
    <w:rsid w:val="00F865AC"/>
    <w:rsid w:val="00FB358B"/>
    <w:rsid w:val="00FD56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70931"/>
  <w15:chartTrackingRefBased/>
  <w15:docId w15:val="{26131EE9-A1C7-44A4-B283-0015FCBC1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B3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B3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B358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B358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B358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B358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B358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B358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B358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B358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B358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B358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B358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B358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B358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B358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B358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B358B"/>
    <w:rPr>
      <w:rFonts w:eastAsiaTheme="majorEastAsia" w:cstheme="majorBidi"/>
      <w:color w:val="272727" w:themeColor="text1" w:themeTint="D8"/>
    </w:rPr>
  </w:style>
  <w:style w:type="paragraph" w:styleId="Titolo">
    <w:name w:val="Title"/>
    <w:basedOn w:val="Normale"/>
    <w:next w:val="Normale"/>
    <w:link w:val="TitoloCarattere"/>
    <w:uiPriority w:val="10"/>
    <w:qFormat/>
    <w:rsid w:val="00FB3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358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B358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B358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B358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B358B"/>
    <w:rPr>
      <w:i/>
      <w:iCs/>
      <w:color w:val="404040" w:themeColor="text1" w:themeTint="BF"/>
    </w:rPr>
  </w:style>
  <w:style w:type="paragraph" w:styleId="Paragrafoelenco">
    <w:name w:val="List Paragraph"/>
    <w:basedOn w:val="Normale"/>
    <w:uiPriority w:val="34"/>
    <w:qFormat/>
    <w:rsid w:val="00FB358B"/>
    <w:pPr>
      <w:ind w:left="720"/>
      <w:contextualSpacing/>
    </w:pPr>
  </w:style>
  <w:style w:type="character" w:styleId="Enfasiintensa">
    <w:name w:val="Intense Emphasis"/>
    <w:basedOn w:val="Carpredefinitoparagrafo"/>
    <w:uiPriority w:val="21"/>
    <w:qFormat/>
    <w:rsid w:val="00FB358B"/>
    <w:rPr>
      <w:i/>
      <w:iCs/>
      <w:color w:val="0F4761" w:themeColor="accent1" w:themeShade="BF"/>
    </w:rPr>
  </w:style>
  <w:style w:type="paragraph" w:styleId="Citazioneintensa">
    <w:name w:val="Intense Quote"/>
    <w:basedOn w:val="Normale"/>
    <w:next w:val="Normale"/>
    <w:link w:val="CitazioneintensaCarattere"/>
    <w:uiPriority w:val="30"/>
    <w:qFormat/>
    <w:rsid w:val="00FB3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B358B"/>
    <w:rPr>
      <w:i/>
      <w:iCs/>
      <w:color w:val="0F4761" w:themeColor="accent1" w:themeShade="BF"/>
    </w:rPr>
  </w:style>
  <w:style w:type="character" w:styleId="Riferimentointenso">
    <w:name w:val="Intense Reference"/>
    <w:basedOn w:val="Carpredefinitoparagrafo"/>
    <w:uiPriority w:val="32"/>
    <w:qFormat/>
    <w:rsid w:val="00FB358B"/>
    <w:rPr>
      <w:b/>
      <w:bCs/>
      <w:smallCaps/>
      <w:color w:val="0F4761" w:themeColor="accent1" w:themeShade="BF"/>
      <w:spacing w:val="5"/>
    </w:rPr>
  </w:style>
  <w:style w:type="character" w:styleId="Collegamentoipertestuale">
    <w:name w:val="Hyperlink"/>
    <w:basedOn w:val="Carpredefinitoparagrafo"/>
    <w:uiPriority w:val="99"/>
    <w:unhideWhenUsed/>
    <w:rsid w:val="008C453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eronafier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soffice@veronafiere.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1059</Words>
  <Characters>6038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Marchi Francesco</dc:creator>
  <cp:keywords/>
  <dc:description/>
  <cp:lastModifiedBy>Dusi Giorgia</cp:lastModifiedBy>
  <cp:revision>2</cp:revision>
  <dcterms:created xsi:type="dcterms:W3CDTF">2026-06-19T09:57:00Z</dcterms:created>
  <dcterms:modified xsi:type="dcterms:W3CDTF">2026-06-19T09:57:00Z</dcterms:modified>
</cp:coreProperties>
</file>